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333333"/>
          <w:sz w:val="23"/>
          <w:szCs w:val="23"/>
        </w:rPr>
      </w:pPr>
      <w:r w:rsidRPr="00A852CF">
        <w:rPr>
          <w:rFonts w:ascii="Arial" w:hAnsi="Arial" w:cs="Arial"/>
          <w:b/>
          <w:i/>
          <w:color w:val="333333"/>
          <w:sz w:val="23"/>
          <w:szCs w:val="23"/>
        </w:rPr>
        <w:t>Общие правила проведения инвентаризации.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333333"/>
          <w:sz w:val="23"/>
          <w:szCs w:val="23"/>
        </w:rPr>
      </w:pPr>
    </w:p>
    <w:p w:rsidR="00A852CF" w:rsidRPr="00A852CF" w:rsidRDefault="00A852CF" w:rsidP="00A852C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333333"/>
          <w:sz w:val="23"/>
          <w:szCs w:val="23"/>
        </w:rPr>
      </w:pP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1. Для проведения инвентаризации имущества и обязательств организации создается инвентаризационная комиссия, включающая представителей администрации, работников бухгалтерской службы, службы внутреннего контроля, при необходимости – представителей внешнего аудита. Состав этой комиссии утверждается руководителем организации.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2. После утверждения приказа о назначении председателю инвентаризационной комиссии выдается письменное распоряжение за подписью руководителя, в котором, кроме состава комиссии, указаны номер и дата приказа, объект, который подлежит инвентаризации, сроки начала и окончания работ.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3. Для точной и полной проверки фактического наличия имущества и обязательств инвентаризационная комиссия полностью обеспечивается рабочей силой для перемещения грузов, перевешивания, технически исправными весовыми, измерительными и контрольными приборами, мерной тарой и т. п.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4. До проведения инвентаризации все члены комиссии подробно знакомятся с материалами последней инвентаризации, проведенной по данным объектам, и с мерами, принятыми по ее результатам.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5. Прежде чем приступить к проверке фактического наличия имущества, инвентаризационной комиссии необходимо: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1) опломбировать подсобные помещения, подвалы и другие места хранения имущества, имеющие отдельные входы и выходы;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2) получить последний на момент инвентаризации реестр приходных и расходных документов или отчеты о движении имущества, подлежащего инвентаризации;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3) проверить исправность приборов, используемых комиссией в процессе проведения инвентаризации, и соблюдение установленных сроков их клеймения.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6. Далее председатель инвентаризационной комиссии подписывает все расходные и приходные документы, приложенные к этим реестрам (отчетам) с указанием, до инвентаризации по состоянию 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на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“…,,(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дата</w:t>
      </w:r>
      <w:proofErr w:type="gramEnd"/>
      <w:r>
        <w:rPr>
          <w:rFonts w:ascii="Arial" w:hAnsi="Arial" w:cs="Arial"/>
          <w:color w:val="333333"/>
          <w:sz w:val="23"/>
          <w:szCs w:val="23"/>
        </w:rPr>
        <w:t>), что служит бухгалтерии или лицу, ведущему бухгалтерский учет, основанием для определения остатков имущества к началу инвентаризации по учетным данным.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7. Материально ответственные лица представляют расписки о том, что к началу инвентаризации все имущество, поступившее на хранение, оприходовано, а выбывшее списано в расход. Все расходные и приходные документы на имущество, находящееся у них в подотчете, сданы в бухгалтерию.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8. Аналогичные расписки принимаются и от лиц, имеющих подотчетные суммы на приобретение, а также доверенности на получение имущества.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9. Инвентаризация имущества производится по местонахождению имущества. Если инвентаризация имущества проводится в течение нескольких дней, то помещение, где хранится инвентаризируемое имущество, ежедневно опечатывается в присутствии членов комиссии и материально ответственного лица. Если при проведении инвентаризации комиссия не имеет возможности произвести подсчет имущества в данном помещении и записать их в опись сразу, то на группу уже просчитанного (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проинвентаризированного</w:t>
      </w:r>
      <w:proofErr w:type="spellEnd"/>
      <w:r>
        <w:rPr>
          <w:rFonts w:ascii="Arial" w:hAnsi="Arial" w:cs="Arial"/>
          <w:color w:val="333333"/>
          <w:sz w:val="23"/>
          <w:szCs w:val="23"/>
        </w:rPr>
        <w:t>) имущества прикрепляются ярлыки фактического наличия имущества.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10. Проверка фактических остатков производится при обязательном участии материально ответственного лица, но это лицо не может быть членом инвентаризационной комиссии на своем участке. При смене материально ответственного лица в ходе проверки фактического наличия имущества, лицо, принявшее это имущество, расписывается в инвентаризационных описях в их получении, а сдавшее – в их сдаче.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proofErr w:type="gramStart"/>
      <w:r>
        <w:rPr>
          <w:rFonts w:ascii="Arial" w:hAnsi="Arial" w:cs="Arial"/>
          <w:color w:val="333333"/>
          <w:sz w:val="23"/>
          <w:szCs w:val="23"/>
        </w:rPr>
        <w:t>При проведении инвентаризации имеют место следующие отклонения и нарушения, в результате которых эффект от проведения инвентаризации не достигается, и процедура сверки фактического наличия в данными учета превращается в формальность:</w:t>
      </w:r>
      <w:proofErr w:type="gramEnd"/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1.           Инвентаризация проводится неправомочными на это лицами. В составе комиссии числятся материально-ответственные лица.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2.           В ходе проведения инвентаризации происходит замена членов комиссии.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lastRenderedPageBreak/>
        <w:t>3.           До проведения инвентаризации не опечатаны складские и подсобные помещения, через которые имеется доступ к товарно-материальным запасам.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4.           Инвентаризация проводится без взвешивания, подсчета, измерения со слов материально-ответственных лиц.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5.           Не производятся вскрытие тары, пересчет и взвешивание товаров.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6.           Окончание начавшейся инвентаризации переносится на другой срок.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proofErr w:type="gramStart"/>
      <w:r>
        <w:rPr>
          <w:rFonts w:ascii="Arial" w:hAnsi="Arial" w:cs="Arial"/>
          <w:color w:val="333333"/>
          <w:sz w:val="23"/>
          <w:szCs w:val="23"/>
        </w:rPr>
        <w:t>Для обеспечения непрерывного контроля в периоды между инвентаризациями на предприятии возможно проведение выборочных инвентаризаций по отдельным наименованиям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товарно-материальных запасов.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Наиболее характерные случаи неправильного отражения в учете установленных организацией недостач или излишков материалов: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списание недостач на себестоимость продукции;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списание недостач материалов одного вида за счет излишков другого как пересортица;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числящиеся суммы недостачи материалов на счет с мотивацией последующего выяснения причин ее образования.</w:t>
      </w:r>
    </w:p>
    <w:p w:rsidR="00A852CF" w:rsidRDefault="00A852CF" w:rsidP="00A852CF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Специфика некоторых производств вызывает необходимость проведения инвентаризаций с применением специальных процедур в виде контрольного обмера, лабораторного анализа, обследования и экспертизы. В таких случаях в инвентаризационную комиссию следует включать специалистов – технологов, экспертов, инженеров-техников, не ограничиваясь учетно-бухгалтерскими работниками. Например, для контрольного обмера законченных работ по строительству характерно его проведение одновременно с инвентаризацией стройматериалов. При этом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,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до начала обмера, следует все наряды на выполненные работы закрыть и на них составить акты приемки. Контрольными обмерами можно определить расход материалов по данным учета и сличить их с данными обмера, сравнить фактический расход материалов 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с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нормам</w:t>
      </w:r>
    </w:p>
    <w:p w:rsidR="000E5821" w:rsidRPr="00A852CF" w:rsidRDefault="000E5821" w:rsidP="00A852CF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0E5821" w:rsidRPr="00A852C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852CF"/>
    <w:rsid w:val="000E5821"/>
    <w:rsid w:val="00190430"/>
    <w:rsid w:val="003C4CE4"/>
    <w:rsid w:val="00543310"/>
    <w:rsid w:val="00A8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2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820</Words>
  <Characters>4679</Characters>
  <Application>Microsoft Office Word</Application>
  <DocSecurity>0</DocSecurity>
  <Lines>38</Lines>
  <Paragraphs>10</Paragraphs>
  <ScaleCrop>false</ScaleCrop>
  <Company/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2020-09-04T20:31:00Z</dcterms:created>
  <dcterms:modified xsi:type="dcterms:W3CDTF">2020-09-04T20:33:00Z</dcterms:modified>
</cp:coreProperties>
</file>